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C3" w:rsidRPr="00271570" w:rsidRDefault="009044C3" w:rsidP="009044C3">
      <w:pPr>
        <w:spacing w:after="0"/>
        <w:jc w:val="center"/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RESOLUÇÃO Nº 8</w:t>
      </w:r>
      <w:r w:rsidR="007E69B8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1</w:t>
      </w:r>
      <w:r w:rsidRPr="00271570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/2024</w:t>
      </w:r>
      <w:r w:rsidR="007E69B8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, de 02 de setembro de 2024</w:t>
      </w:r>
      <w:r w:rsidRPr="00271570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.</w:t>
      </w:r>
    </w:p>
    <w:p w:rsidR="009044C3" w:rsidRPr="00271570" w:rsidRDefault="009044C3" w:rsidP="009044C3">
      <w:pPr>
        <w:spacing w:after="0"/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</w:p>
    <w:p w:rsidR="009044C3" w:rsidRPr="00271570" w:rsidRDefault="009044C3" w:rsidP="009044C3">
      <w:pPr>
        <w:spacing w:after="0"/>
        <w:ind w:left="4536"/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  <w:r w:rsidRPr="00271570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“Institui e disciplina a Tabela de Temporalidade dos documentos do Poder Legislativo do Município de Areado – MG, e dá outras providências”.</w:t>
      </w:r>
    </w:p>
    <w:p w:rsidR="009044C3" w:rsidRPr="00271570" w:rsidRDefault="009044C3" w:rsidP="009044C3">
      <w:pPr>
        <w:spacing w:after="0"/>
        <w:jc w:val="both"/>
        <w:rPr>
          <w:rFonts w:ascii="Times New Roman" w:hAnsi="Times New Roman"/>
          <w:color w:val="000000"/>
          <w:sz w:val="22"/>
          <w:szCs w:val="24"/>
          <w:shd w:val="clear" w:color="auto" w:fill="FFFFFF"/>
        </w:rPr>
      </w:pPr>
    </w:p>
    <w:p w:rsidR="009044C3" w:rsidRPr="00271570" w:rsidRDefault="009044C3" w:rsidP="009044C3">
      <w:pPr>
        <w:pStyle w:val="NormalWeb"/>
        <w:spacing w:before="0" w:beforeAutospacing="0" w:after="0" w:afterAutospacing="0" w:line="276" w:lineRule="auto"/>
        <w:ind w:right="72"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Resolução:</w:t>
      </w:r>
    </w:p>
    <w:p w:rsidR="009044C3" w:rsidRPr="00271570" w:rsidRDefault="009044C3" w:rsidP="009044C3">
      <w:pPr>
        <w:spacing w:after="0"/>
        <w:jc w:val="both"/>
        <w:rPr>
          <w:rFonts w:ascii="Times New Roman" w:hAnsi="Times New Roman"/>
          <w:color w:val="000000"/>
          <w:sz w:val="22"/>
          <w:szCs w:val="24"/>
          <w:shd w:val="clear" w:color="auto" w:fill="FFFFFF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1º. Fica instituída a Tabela de Temporalidade de documentos no âmbito do Poder Legislativo do Município de Areado, destinada a dar eficiência administrativa, a conservar, a proteger e a assegurar o acesso ao patrimônio documental da Câmara Municipal.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Parágrafo único. A Tabela de Temporalidade de documentos é o instrumento básico da Gestão Documental e resulta de um processo de análise que permite a identificação dos valores dos documentos para fins de definição de seus prazos de guarda e destinação.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2º. A classificação dos documentos observará a Tabela de Temporalidade, cujo procedimento de avaliação caberá à Comissão de Avaliação de Documentos, a ela cabendo: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 – </w:t>
      </w:r>
      <w:proofErr w:type="gramStart"/>
      <w:r w:rsidRPr="00271570">
        <w:rPr>
          <w:color w:val="000000"/>
          <w:sz w:val="22"/>
        </w:rPr>
        <w:t>efetuar</w:t>
      </w:r>
      <w:proofErr w:type="gramEnd"/>
      <w:r w:rsidRPr="00271570">
        <w:rPr>
          <w:color w:val="000000"/>
          <w:sz w:val="22"/>
        </w:rPr>
        <w:t xml:space="preserve"> o levantamento da documentação a ser trabalhada;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II – </w:t>
      </w:r>
      <w:proofErr w:type="gramStart"/>
      <w:r w:rsidRPr="00271570">
        <w:rPr>
          <w:color w:val="000000"/>
          <w:sz w:val="22"/>
        </w:rPr>
        <w:t>selecionar</w:t>
      </w:r>
      <w:proofErr w:type="gramEnd"/>
      <w:r w:rsidRPr="00271570">
        <w:rPr>
          <w:color w:val="000000"/>
          <w:sz w:val="22"/>
        </w:rPr>
        <w:t xml:space="preserve"> os documentos de acordo com sua classificação na Tabela de Temporalidade;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III – preparar os documentos para microfilmagem, digitalização ou incineração, observados os prazos e as classificações da tabela no anexo I;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IV – </w:t>
      </w:r>
      <w:proofErr w:type="gramStart"/>
      <w:r w:rsidRPr="00271570">
        <w:rPr>
          <w:color w:val="000000"/>
          <w:sz w:val="22"/>
        </w:rPr>
        <w:t>revisar</w:t>
      </w:r>
      <w:proofErr w:type="gramEnd"/>
      <w:r w:rsidRPr="00271570">
        <w:rPr>
          <w:color w:val="000000"/>
          <w:sz w:val="22"/>
        </w:rPr>
        <w:t xml:space="preserve"> a cada 3 (três) anos a tabela de temporalidade;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V – </w:t>
      </w:r>
      <w:proofErr w:type="gramStart"/>
      <w:r w:rsidRPr="00271570">
        <w:rPr>
          <w:color w:val="000000"/>
          <w:sz w:val="22"/>
        </w:rPr>
        <w:t>avaliar e classificar</w:t>
      </w:r>
      <w:proofErr w:type="gramEnd"/>
      <w:r w:rsidRPr="00271570">
        <w:rPr>
          <w:color w:val="000000"/>
          <w:sz w:val="22"/>
        </w:rPr>
        <w:t xml:space="preserve"> os documentos de valor histórico.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Parágrafo único. A comissão de que trata o </w:t>
      </w:r>
      <w:r w:rsidRPr="00271570">
        <w:rPr>
          <w:i/>
          <w:color w:val="000000"/>
          <w:sz w:val="22"/>
        </w:rPr>
        <w:t>caput</w:t>
      </w:r>
      <w:r w:rsidRPr="00271570">
        <w:rPr>
          <w:color w:val="000000"/>
          <w:sz w:val="22"/>
        </w:rPr>
        <w:t xml:space="preserve"> será composta por três membros designados por ato da Mesa Diretora. 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3º. Os documentos que são objetos desta Resolução se dividem em quatro grupos: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 – </w:t>
      </w:r>
      <w:proofErr w:type="gramStart"/>
      <w:r w:rsidRPr="00271570">
        <w:rPr>
          <w:color w:val="000000"/>
          <w:sz w:val="22"/>
        </w:rPr>
        <w:t>o</w:t>
      </w:r>
      <w:proofErr w:type="gramEnd"/>
      <w:r w:rsidRPr="00271570">
        <w:rPr>
          <w:color w:val="000000"/>
          <w:sz w:val="22"/>
        </w:rPr>
        <w:t xml:space="preserve"> de valor histórico, assim entendidos como aqueles cujo conteúdo estampado representa um momento histórico para a municipalidade;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II – </w:t>
      </w:r>
      <w:proofErr w:type="gramStart"/>
      <w:r w:rsidRPr="00271570">
        <w:rPr>
          <w:color w:val="000000"/>
          <w:sz w:val="22"/>
        </w:rPr>
        <w:t>o</w:t>
      </w:r>
      <w:proofErr w:type="gramEnd"/>
      <w:r w:rsidRPr="00271570">
        <w:rPr>
          <w:color w:val="000000"/>
          <w:sz w:val="22"/>
        </w:rPr>
        <w:t xml:space="preserve"> de guarda permanente, assim compreendido entre aqueles que decorrem das atividades administrativas, cujo conteúdo faz prova de ato administrativo de natureza contábil, fiscal, previdenciária, recursos humanos e tributária, bem como aqueles de atividades legislativas, conforme anexo I da presente resolução;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III – o de guarda temporária, assim entendido como aqueles que não reúnem valor que justifique sua armazenagem, e que são passíveis de eliminação após cumprida sua finalidade;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IV – </w:t>
      </w:r>
      <w:proofErr w:type="gramStart"/>
      <w:r w:rsidRPr="00271570">
        <w:rPr>
          <w:color w:val="000000"/>
          <w:sz w:val="22"/>
        </w:rPr>
        <w:t>o</w:t>
      </w:r>
      <w:proofErr w:type="gramEnd"/>
      <w:r w:rsidRPr="00271570">
        <w:rPr>
          <w:color w:val="000000"/>
          <w:sz w:val="22"/>
        </w:rPr>
        <w:t xml:space="preserve"> de conservação física, assim entendido como aqueles que serão guardados no arquivo físico da Câmara.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4º As divisões elencadas no artigo anterior, seguiram as definições contidas na Tabela de Temporalidade, instituída por esta resolução.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1º. Os documentos, após serem recebidos ou produzidos pelo respectivo setor responsável, serão mantidos sob sua guarda pelo prazo indicado na Tabela de Temporalidade do anexo I desta Resolução.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lastRenderedPageBreak/>
        <w:t xml:space="preserve">§ 2º. Exauridos os respectivos prazos, os documentos de valor histórico, de guarda provisória e de guarda permanente serão encaminhados para a comissão de avaliação, que decidirá sobre a destinação, segundo as classificações da Tabela de Temporalidade. 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Art. 5º. O destino dos documentos, ao fim do prazo estabelecido no anexo I, seguirá a classificação indicada na Tabela de Temporalidade, sendo: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 xml:space="preserve">I – </w:t>
      </w:r>
      <w:proofErr w:type="gramStart"/>
      <w:r w:rsidRPr="00271570">
        <w:rPr>
          <w:rFonts w:ascii="Times New Roman" w:hAnsi="Times New Roman"/>
          <w:color w:val="000000"/>
          <w:sz w:val="22"/>
          <w:szCs w:val="24"/>
        </w:rPr>
        <w:t>incinerados</w:t>
      </w:r>
      <w:proofErr w:type="gramEnd"/>
      <w:r w:rsidRPr="00271570">
        <w:rPr>
          <w:rFonts w:ascii="Times New Roman" w:hAnsi="Times New Roman"/>
          <w:color w:val="000000"/>
          <w:sz w:val="22"/>
          <w:szCs w:val="24"/>
        </w:rPr>
        <w:t xml:space="preserve"> os documentos de guarda temporária;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 xml:space="preserve">II – </w:t>
      </w:r>
      <w:proofErr w:type="gramStart"/>
      <w:r w:rsidRPr="00271570">
        <w:rPr>
          <w:rFonts w:ascii="Times New Roman" w:hAnsi="Times New Roman"/>
          <w:color w:val="000000"/>
          <w:sz w:val="22"/>
          <w:szCs w:val="24"/>
        </w:rPr>
        <w:t>digitalizados ou microfilmados</w:t>
      </w:r>
      <w:proofErr w:type="gramEnd"/>
      <w:r w:rsidRPr="00271570">
        <w:rPr>
          <w:rFonts w:ascii="Times New Roman" w:hAnsi="Times New Roman"/>
          <w:color w:val="000000"/>
          <w:sz w:val="22"/>
          <w:szCs w:val="24"/>
        </w:rPr>
        <w:t xml:space="preserve"> os documentos de guarda permanente;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18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III – mantidos no arquivo físico;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IV – </w:t>
      </w:r>
      <w:proofErr w:type="gramStart"/>
      <w:r w:rsidRPr="00271570">
        <w:rPr>
          <w:color w:val="000000"/>
          <w:sz w:val="22"/>
        </w:rPr>
        <w:t>os</w:t>
      </w:r>
      <w:proofErr w:type="gramEnd"/>
      <w:r w:rsidRPr="00271570">
        <w:rPr>
          <w:color w:val="000000"/>
          <w:sz w:val="22"/>
        </w:rPr>
        <w:t xml:space="preserve"> documentos de valor histórico serão avaliados pela comissão e serão digitalizados ou microfilmados, bem como mantidos em arquivo físico.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§ 1º. Em ambos os procedimentos, a comissão avaliará previamente, se o conteúdo estampado no respectivo documento justifica a conversão para formato digital, incineração ou manutenção no arquivo físico.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2º. O procedimento de incineração de acervo impresso será precedido de avaliação e classificação pela comissão, de acordo com a Tabela de Temporalidade.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§ 3º. A incineração de documentos será precedida da publicação de edital com 5 (cinco) dias de antecedência, nos termos do anexo II desta Resolução, e registrado em ata assinada pelos membros da comissão, na qual será lavrado o termo previsto no anexo III </w:t>
      </w:r>
      <w:proofErr w:type="gramStart"/>
      <w:r w:rsidRPr="00271570">
        <w:rPr>
          <w:color w:val="000000"/>
          <w:sz w:val="22"/>
        </w:rPr>
        <w:t>da presente</w:t>
      </w:r>
      <w:proofErr w:type="gramEnd"/>
      <w:r w:rsidRPr="00271570">
        <w:rPr>
          <w:color w:val="000000"/>
          <w:sz w:val="22"/>
        </w:rPr>
        <w:t>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4º. A comissão poderá utilizar outra forma de descarte diferente da incineração, desde que seja segura e eficiente.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6º. Integram esta Resolução os anexos de I a IV, que respectivamente estabelecem a Tabela de Temporalidade, o Edital de Ciência de Incineração de Documentos, o Termo de Incineração e o Fluxograma.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7º. Esta Resolução entra em vigor na data de sua publicação.</w:t>
      </w:r>
    </w:p>
    <w:p w:rsidR="009044C3" w:rsidRPr="00271570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hd w:val="clear" w:color="auto" w:fill="FFFFFF"/>
        </w:rPr>
      </w:pPr>
    </w:p>
    <w:p w:rsidR="009044C3" w:rsidRPr="00271570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hd w:val="clear" w:color="auto" w:fill="FFFFFF"/>
        </w:rPr>
      </w:pPr>
      <w:r w:rsidRPr="00271570">
        <w:rPr>
          <w:color w:val="000000"/>
          <w:sz w:val="22"/>
          <w:shd w:val="clear" w:color="auto" w:fill="FFFFFF"/>
        </w:rPr>
        <w:t xml:space="preserve">Câmara Municipal de Areado, em </w:t>
      </w:r>
      <w:r w:rsidR="00271570" w:rsidRPr="00271570">
        <w:rPr>
          <w:color w:val="000000"/>
          <w:sz w:val="22"/>
          <w:shd w:val="clear" w:color="auto" w:fill="FFFFFF"/>
        </w:rPr>
        <w:t>02</w:t>
      </w:r>
      <w:r w:rsidRPr="00271570">
        <w:rPr>
          <w:color w:val="000000"/>
          <w:sz w:val="22"/>
          <w:shd w:val="clear" w:color="auto" w:fill="FFFFFF"/>
        </w:rPr>
        <w:t xml:space="preserve"> de </w:t>
      </w:r>
      <w:r w:rsidR="00271570" w:rsidRPr="00271570">
        <w:rPr>
          <w:color w:val="000000"/>
          <w:sz w:val="22"/>
          <w:shd w:val="clear" w:color="auto" w:fill="FFFFFF"/>
        </w:rPr>
        <w:t xml:space="preserve">setembro </w:t>
      </w:r>
      <w:r w:rsidRPr="00271570">
        <w:rPr>
          <w:color w:val="000000"/>
          <w:sz w:val="22"/>
          <w:shd w:val="clear" w:color="auto" w:fill="FFFFFF"/>
        </w:rPr>
        <w:t>de 2024.</w:t>
      </w:r>
    </w:p>
    <w:p w:rsidR="009044C3" w:rsidRPr="00271570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8"/>
        <w:tblW w:w="10817" w:type="dxa"/>
        <w:tblLook w:val="04A0" w:firstRow="1" w:lastRow="0" w:firstColumn="1" w:lastColumn="0" w:noHBand="0" w:noVBand="1"/>
      </w:tblPr>
      <w:tblGrid>
        <w:gridCol w:w="3461"/>
        <w:gridCol w:w="3750"/>
        <w:gridCol w:w="3606"/>
      </w:tblGrid>
      <w:tr w:rsidR="009044C3" w:rsidRPr="00271570" w:rsidTr="007E69B8">
        <w:trPr>
          <w:trHeight w:val="545"/>
        </w:trPr>
        <w:tc>
          <w:tcPr>
            <w:tcW w:w="3461" w:type="dxa"/>
            <w:hideMark/>
          </w:tcPr>
          <w:p w:rsidR="009044C3" w:rsidRPr="00271570" w:rsidRDefault="009044C3" w:rsidP="007E69B8">
            <w:pPr>
              <w:pStyle w:val="Corpodetexto"/>
              <w:spacing w:line="276" w:lineRule="auto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Elivelto Russo</w:t>
            </w:r>
          </w:p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   Presidente</w:t>
            </w:r>
          </w:p>
        </w:tc>
        <w:tc>
          <w:tcPr>
            <w:tcW w:w="3750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</w:tc>
        <w:tc>
          <w:tcPr>
            <w:tcW w:w="3606" w:type="dxa"/>
            <w:hideMark/>
          </w:tcPr>
          <w:p w:rsidR="009044C3" w:rsidRPr="00271570" w:rsidRDefault="009044C3" w:rsidP="007E69B8">
            <w:pPr>
              <w:pStyle w:val="Corpodetexto"/>
              <w:spacing w:line="276" w:lineRule="auto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>Mayke Kewin de Oliveira</w:t>
            </w:r>
          </w:p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     Secretário</w:t>
            </w:r>
          </w:p>
        </w:tc>
      </w:tr>
      <w:tr w:rsidR="009044C3" w:rsidRPr="00271570" w:rsidTr="007E69B8">
        <w:trPr>
          <w:trHeight w:val="1080"/>
        </w:trPr>
        <w:tc>
          <w:tcPr>
            <w:tcW w:w="3461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</w:tc>
        <w:tc>
          <w:tcPr>
            <w:tcW w:w="3750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  <w:p w:rsidR="009044C3" w:rsidRPr="00271570" w:rsidRDefault="009044C3" w:rsidP="007E69B8">
            <w:pPr>
              <w:pStyle w:val="Corpodetexto"/>
              <w:spacing w:line="276" w:lineRule="auto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>Rosângela bernardo Manoel</w:t>
            </w:r>
          </w:p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  Vice-Presidente</w:t>
            </w:r>
          </w:p>
        </w:tc>
        <w:tc>
          <w:tcPr>
            <w:tcW w:w="3606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</w:tc>
      </w:tr>
    </w:tbl>
    <w:p w:rsidR="009044C3" w:rsidRPr="00271570" w:rsidRDefault="009044C3" w:rsidP="009044C3">
      <w:pPr>
        <w:spacing w:after="0"/>
        <w:rPr>
          <w:rFonts w:ascii="Times New Roman" w:hAnsi="Times New Roman"/>
          <w:b/>
          <w:color w:val="000000"/>
          <w:sz w:val="24"/>
          <w:szCs w:val="26"/>
        </w:rPr>
      </w:pPr>
    </w:p>
    <w:p w:rsidR="009044C3" w:rsidRPr="00271570" w:rsidRDefault="009044C3" w:rsidP="009044C3">
      <w:pPr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br w:type="page"/>
      </w:r>
    </w:p>
    <w:p w:rsidR="00B97892" w:rsidRPr="00271570" w:rsidRDefault="00B97892" w:rsidP="00B97892">
      <w:pPr>
        <w:spacing w:after="111"/>
        <w:ind w:right="1114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lastRenderedPageBreak/>
        <w:t xml:space="preserve">Tabela de Temporalidade </w:t>
      </w:r>
    </w:p>
    <w:p w:rsidR="00695964" w:rsidRPr="00271570" w:rsidRDefault="00B97892" w:rsidP="00B97892">
      <w:pPr>
        <w:spacing w:after="111"/>
        <w:ind w:right="1114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 Anexo I – Resolução Nº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81</w:t>
      </w: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02</w:t>
      </w: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 xml:space="preserve">setembro </w:t>
      </w:r>
      <w:r w:rsidRPr="00271570">
        <w:rPr>
          <w:rFonts w:ascii="Times New Roman" w:hAnsi="Times New Roman"/>
          <w:b/>
          <w:color w:val="000000"/>
          <w:sz w:val="24"/>
          <w:szCs w:val="26"/>
        </w:rPr>
        <w:t>de 2024</w:t>
      </w:r>
    </w:p>
    <w:p w:rsidR="00B97892" w:rsidRPr="00271570" w:rsidRDefault="00B97892" w:rsidP="006B533C">
      <w:pPr>
        <w:spacing w:after="0" w:line="240" w:lineRule="auto"/>
        <w:rPr>
          <w:rFonts w:ascii="Times New Roman" w:hAnsi="Times New Roman"/>
          <w:b/>
          <w:color w:val="000000"/>
          <w:sz w:val="22"/>
          <w:szCs w:val="24"/>
        </w:rPr>
      </w:pPr>
    </w:p>
    <w:p w:rsidR="006B533C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1 EXERCÍCIO DAS FUNÇÕES DO PODER LEGISLATIVO</w:t>
      </w:r>
      <w:r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tbl>
      <w:tblPr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770"/>
        <w:gridCol w:w="2199"/>
        <w:gridCol w:w="1701"/>
      </w:tblGrid>
      <w:tr w:rsidR="009044C3" w:rsidRPr="00271570" w:rsidTr="00D322CD">
        <w:trPr>
          <w:trHeight w:val="765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D322CD">
        <w:trPr>
          <w:trHeight w:val="765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45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Style w:val="Refdenotaderodap"/>
                <w:rFonts w:ascii="Times New Roman" w:hAnsi="Times New Roman"/>
                <w:b/>
                <w:bCs/>
                <w:color w:val="000000"/>
                <w:szCs w:val="24"/>
              </w:rPr>
              <w:footnoteReference w:id="1"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45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45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701" w:type="dxa"/>
          </w:tcPr>
          <w:p w:rsidR="00D322CD" w:rsidRPr="00271570" w:rsidRDefault="00D322CD" w:rsidP="008513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D322CD">
        <w:trPr>
          <w:trHeight w:val="405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1.1.Atividades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Legislativas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</w:p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 xml:space="preserve">  </w:t>
            </w:r>
          </w:p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Emenda à Lei Orgânica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24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Lei Complementar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6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Lei Ordinária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6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Decreto Legislativo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Resoluções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Autógrafo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Lei Complementar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Lei Ordinária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Decreto Legislativo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408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Resolução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432"/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da Mesa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Ofícios 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Requerimentos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Indicações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Moção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1.2 Atividades de Fiscalização</w:t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das CPIs / Sindicância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843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1.3 Atividades de Julgamento</w:t>
            </w:r>
          </w:p>
        </w:tc>
        <w:tc>
          <w:tcPr>
            <w:tcW w:w="3543" w:type="dxa"/>
            <w:vAlign w:val="center"/>
          </w:tcPr>
          <w:p w:rsidR="00D322CD" w:rsidRPr="00271570" w:rsidRDefault="00D322CD" w:rsidP="0088606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Processo de prestação de contas Tribunal de Contas do Estado de Minas Gerais/ qualquer outro tipo de </w:t>
            </w: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procersso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ou diligência do TCE/MG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infrações político-administrativas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1.4 Composição das Comissões</w:t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das reuniões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Correspondências recebidas e expedidas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1.5 Controle da realização de sessões legislativas</w:t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das sessões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D2208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Folha de presença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Pauta das sessões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01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597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1.6 Participação da Sociedade Civil</w:t>
            </w: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Requerimento para uso da Tribuna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Solicitações recebidas pela Ouvidoria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271570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</w:p>
    <w:p w:rsidR="00271570" w:rsidRPr="00271570" w:rsidRDefault="00271570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271570" w:rsidRPr="00271570" w:rsidRDefault="00271570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6B533C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lastRenderedPageBreak/>
        <w:t>2 ORGANIZAÇÃO E FUNCIONAMENTO ADMINISTRATIVO</w:t>
      </w:r>
      <w:r w:rsidRPr="00271570">
        <w:rPr>
          <w:rFonts w:ascii="Times New Roman" w:hAnsi="Times New Roman"/>
          <w:color w:val="000000"/>
          <w:sz w:val="22"/>
          <w:szCs w:val="24"/>
        </w:rPr>
        <w:br/>
        <w:t xml:space="preserve">  </w:t>
      </w:r>
    </w:p>
    <w:tbl>
      <w:tblPr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289"/>
        <w:gridCol w:w="1777"/>
        <w:gridCol w:w="2051"/>
        <w:gridCol w:w="1842"/>
      </w:tblGrid>
      <w:tr w:rsidR="009044C3" w:rsidRPr="00271570" w:rsidTr="0088431F">
        <w:trPr>
          <w:tblCellSpacing w:w="0" w:type="dxa"/>
        </w:trPr>
        <w:tc>
          <w:tcPr>
            <w:tcW w:w="1809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289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D322CD">
        <w:trPr>
          <w:trHeight w:val="1155"/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842" w:type="dxa"/>
          </w:tcPr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 w:val="restart"/>
            <w:vAlign w:val="center"/>
            <w:hideMark/>
          </w:tcPr>
          <w:p w:rsidR="00D322CD" w:rsidRPr="00271570" w:rsidRDefault="00D322CD" w:rsidP="00D8178B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2.1 Jurídico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</w:p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Ações diretas de inconstitucionalidade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Contratos de Prestação de Serviço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Convênios </w:t>
            </w: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multi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instituído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Convênio Plano de Saúde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Contrato de Consignado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Contrato de Folha de Pagamento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Pareceres Jurídicos referentes ao Recursos Humanos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Pareceres Jurídicos Licitatórios????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Pareceres Jurídicos (administrativos) 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Pareceres jurídicos (legislativos)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licitatório de Contratação direta Dispensa / Inexigibilidade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licitatório do Art. 28 da Lei n 14.133/2021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Ações / autos de processos judiciais junto ao Poder Judiciário ou Ministério Público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1942"/>
          <w:tblCellSpacing w:w="0" w:type="dxa"/>
        </w:trPr>
        <w:tc>
          <w:tcPr>
            <w:tcW w:w="180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2.2 Composição, funcionamento e Deliberação da Mesa diretora e da Presidência</w:t>
            </w:r>
          </w:p>
        </w:tc>
        <w:tc>
          <w:tcPr>
            <w:tcW w:w="3289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Portarias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2051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</w:tbl>
    <w:p w:rsidR="00812F19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="00812F19" w:rsidRPr="00271570">
        <w:rPr>
          <w:rFonts w:ascii="Times New Roman" w:hAnsi="Times New Roman"/>
          <w:color w:val="000000"/>
          <w:sz w:val="22"/>
          <w:szCs w:val="24"/>
        </w:rPr>
        <w:t> </w:t>
      </w:r>
    </w:p>
    <w:p w:rsidR="00812F19" w:rsidRPr="00271570" w:rsidRDefault="00812F1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D322CD" w:rsidRPr="00271570" w:rsidRDefault="00D322CD">
      <w:pPr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6B533C" w:rsidRPr="00271570" w:rsidRDefault="00812F19" w:rsidP="006B533C">
      <w:pPr>
        <w:spacing w:after="0" w:line="240" w:lineRule="auto"/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lastRenderedPageBreak/>
        <w:t>3</w:t>
      </w:r>
      <w:r w:rsidR="006B533C" w:rsidRPr="00271570">
        <w:rPr>
          <w:rFonts w:ascii="Times New Roman" w:hAnsi="Times New Roman"/>
          <w:b/>
          <w:bCs/>
          <w:color w:val="000000"/>
          <w:sz w:val="22"/>
          <w:szCs w:val="24"/>
        </w:rPr>
        <w:t xml:space="preserve"> COMUNICAÇÃO INSTITUCIONAL</w:t>
      </w:r>
      <w:r w:rsidR="006B533C"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  <w:r w:rsidR="00F45813" w:rsidRPr="00271570">
        <w:rPr>
          <w:rFonts w:ascii="Times New Roman" w:hAnsi="Times New Roman"/>
          <w:b/>
          <w:color w:val="000000"/>
          <w:sz w:val="22"/>
          <w:szCs w:val="24"/>
        </w:rPr>
        <w:t>E RECURSOS HUMANOS</w:t>
      </w:r>
    </w:p>
    <w:tbl>
      <w:tblPr>
        <w:tblpPr w:leftFromText="36" w:rightFromText="36" w:vertAnchor="text"/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3261"/>
        <w:gridCol w:w="1774"/>
        <w:gridCol w:w="2247"/>
        <w:gridCol w:w="1901"/>
      </w:tblGrid>
      <w:tr w:rsidR="009044C3" w:rsidRPr="00271570" w:rsidTr="0088431F">
        <w:trPr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922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D322CD">
        <w:trPr>
          <w:trHeight w:val="945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901" w:type="dxa"/>
          </w:tcPr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D322CD">
        <w:trPr>
          <w:trHeight w:val="267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da Movimentação Funcional</w:t>
            </w: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Pasta por servidor Comissionado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403"/>
          <w:tblCellSpacing w:w="0" w:type="dxa"/>
        </w:trPr>
        <w:tc>
          <w:tcPr>
            <w:tcW w:w="1727" w:type="dxa"/>
            <w:vMerge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Pasta por servidor efetivo 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Pasta por Vereador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529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3.2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Recursos Humanos</w:t>
            </w: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Grade de tempo de serviço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582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271570" w:rsidRDefault="0088431F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3.3 </w:t>
            </w:r>
            <w:r w:rsidR="00D322CD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Recrutamento e afastamento de pessoal</w:t>
            </w: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Concurso Público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582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Exoneração Dispensa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313"/>
          <w:tblCellSpacing w:w="0" w:type="dxa"/>
        </w:trPr>
        <w:tc>
          <w:tcPr>
            <w:tcW w:w="1727" w:type="dxa"/>
            <w:vMerge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2E4E1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Administrativo Disciplinar / Sindicância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449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3.4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de frequência</w:t>
            </w: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Controle de Presença de Vereador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Controle de Presença de Servidores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56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Controle de horas-extras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710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3.5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Concessão de direitos, vantagens e benefícios</w:t>
            </w: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de diárias????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442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3.6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Capacitação e aperfeiçoamento funcional</w:t>
            </w: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Designação para participação de evento/curso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44"/>
          <w:tblCellSpacing w:w="0" w:type="dxa"/>
        </w:trPr>
        <w:tc>
          <w:tcPr>
            <w:tcW w:w="1727" w:type="dxa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3.7 Controle de pagamentos</w:t>
            </w:r>
          </w:p>
        </w:tc>
        <w:tc>
          <w:tcPr>
            <w:tcW w:w="3261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analítico da Folha de pagamento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3.8 Recolhimento de encargos sociais e contribuições</w:t>
            </w:r>
          </w:p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</w:p>
        </w:tc>
        <w:tc>
          <w:tcPr>
            <w:tcW w:w="3261" w:type="dxa"/>
            <w:vAlign w:val="center"/>
            <w:hideMark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DARF / RAIS/ INSS</w:t>
            </w:r>
          </w:p>
        </w:tc>
        <w:tc>
          <w:tcPr>
            <w:tcW w:w="177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5A44C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GFIP / SEFIP / GPS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5A44C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Dirf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/  DCTF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5A44C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DCTFWEB / EFD-REINF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FICHA FINANCEIRA E IMPOSTO DE RENDA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Comprovante de recolhimento das contribuições do Plano </w:t>
            </w: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Multi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Instituído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88431F" w:rsidRPr="00271570" w:rsidRDefault="0088431F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Recolhimento contribuição sindical</w:t>
            </w:r>
          </w:p>
        </w:tc>
        <w:tc>
          <w:tcPr>
            <w:tcW w:w="177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68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BACKUP DOS SOFTWARES DOS DADOS DA FOLHA DE PAGAMENTO E PREVIDÊNCIA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NÚVEM E-MAIL CONTABIL.CAM. AREADO</w:t>
            </w:r>
          </w:p>
        </w:tc>
      </w:tr>
    </w:tbl>
    <w:p w:rsidR="00D46172" w:rsidRDefault="00D46172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D46172" w:rsidRDefault="00D46172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br w:type="page"/>
      </w:r>
    </w:p>
    <w:p w:rsidR="006B533C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lastRenderedPageBreak/>
        <w:t> </w:t>
      </w:r>
      <w:r w:rsidR="00A01B54" w:rsidRPr="00271570">
        <w:rPr>
          <w:rFonts w:ascii="Times New Roman" w:hAnsi="Times New Roman"/>
          <w:b/>
          <w:bCs/>
          <w:color w:val="000000"/>
          <w:sz w:val="22"/>
          <w:szCs w:val="24"/>
        </w:rPr>
        <w:t>4 BENS E MATERIAIS</w:t>
      </w:r>
      <w:r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546"/>
        <w:gridCol w:w="1767"/>
        <w:gridCol w:w="2247"/>
        <w:gridCol w:w="1797"/>
      </w:tblGrid>
      <w:tr w:rsidR="009044C3" w:rsidRPr="00271570" w:rsidTr="0088431F">
        <w:trPr>
          <w:tblCellSpacing w:w="0" w:type="dxa"/>
        </w:trPr>
        <w:tc>
          <w:tcPr>
            <w:tcW w:w="1411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546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811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11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797" w:type="dxa"/>
          </w:tcPr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88431F">
        <w:trPr>
          <w:tblCellSpacing w:w="0" w:type="dxa"/>
        </w:trPr>
        <w:tc>
          <w:tcPr>
            <w:tcW w:w="1411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4.1 Controle de compras e contratação de serviços</w:t>
            </w:r>
          </w:p>
        </w:tc>
        <w:tc>
          <w:tcPr>
            <w:tcW w:w="3546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Certificado de garantia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7E69B8">
        <w:trPr>
          <w:trHeight w:val="582"/>
          <w:tblCellSpacing w:w="0" w:type="dxa"/>
        </w:trPr>
        <w:tc>
          <w:tcPr>
            <w:tcW w:w="1411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4.2 Controle de bens patrimoniais</w:t>
            </w:r>
          </w:p>
          <w:p w:rsidR="0088431F" w:rsidRPr="00271570" w:rsidRDefault="0088431F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3546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Baixa de bens</w:t>
            </w:r>
          </w:p>
        </w:tc>
        <w:tc>
          <w:tcPr>
            <w:tcW w:w="1767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Termo de depreciação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8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8431F" w:rsidRPr="00271570" w:rsidRDefault="0088431F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6" w:type="dxa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Inventário de bens patrimoniais</w:t>
            </w:r>
          </w:p>
        </w:tc>
        <w:tc>
          <w:tcPr>
            <w:tcW w:w="176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6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Termo de responsabilidade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F45813" w:rsidRPr="00271570" w:rsidRDefault="00F45813" w:rsidP="006B533C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</w:p>
    <w:p w:rsidR="00D322CD" w:rsidRPr="00271570" w:rsidRDefault="00D322CD">
      <w:pPr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6B533C" w:rsidRPr="00271570" w:rsidRDefault="00A01B54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lastRenderedPageBreak/>
        <w:t>5</w:t>
      </w:r>
      <w:r w:rsidR="005377F9" w:rsidRPr="00271570">
        <w:rPr>
          <w:rFonts w:ascii="Times New Roman" w:hAnsi="Times New Roman"/>
          <w:b/>
          <w:bCs/>
          <w:color w:val="000000"/>
          <w:sz w:val="22"/>
          <w:szCs w:val="24"/>
        </w:rPr>
        <w:t xml:space="preserve"> </w:t>
      </w: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ORÇAMENTO E FINANÇAS</w:t>
      </w:r>
      <w:r w:rsidR="006B533C"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57"/>
        <w:gridCol w:w="1767"/>
        <w:gridCol w:w="2247"/>
        <w:gridCol w:w="1797"/>
      </w:tblGrid>
      <w:tr w:rsidR="009044C3" w:rsidRPr="00271570" w:rsidTr="0088431F">
        <w:trPr>
          <w:trHeight w:val="34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457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811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10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57" w:type="dxa"/>
            <w:vMerge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797" w:type="dxa"/>
          </w:tcPr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88431F">
        <w:trPr>
          <w:trHeight w:val="43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5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.1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Financeiro</w:t>
            </w: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Processo de conciliação bancária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notas de empenhos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Cópia de cheque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Comprante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PIX / transferência bancária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Cópia de cheque da devolução de saldos e verbas do exercício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6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5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.2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de Contabilidade</w:t>
            </w: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Balancetes de despesas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Balancetes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Razão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Diário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Espelho das despesas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Ofício encaminhando cópia de balancete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1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Balancete Financeiro 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40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Balancete Orçamentário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4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Balancete Patrimonial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6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Cronologia de pagamentos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52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Execução Orçamentária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3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Fluxo de caixa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23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Variações patrimoniais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 despesa por período e valor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 despesa orçamentária pagos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Relatório da despesa </w:t>
            </w: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extraorçamentaria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por período e valor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Relatório da despesa </w:t>
            </w: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extraorçamentario</w:t>
            </w:r>
            <w:proofErr w:type="spellEnd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pagos 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Histórico da receita </w:t>
            </w:r>
            <w:proofErr w:type="spellStart"/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extraorçamentária</w:t>
            </w:r>
            <w:proofErr w:type="spellEnd"/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93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Histórico bancário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Balancete completo mensal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Ficha e guia bancária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4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Declaração e recibo SICONF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40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Recibo do SICOM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Recibo de entrega de dados contábeis SISTN e declaração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SISTN- sistema de Coleta de Dados Contábeis dos Entes da Federação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88431F" w:rsidRPr="00271570" w:rsidRDefault="006B533C" w:rsidP="006B533C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Pr="00271570">
        <w:rPr>
          <w:rFonts w:ascii="Times New Roman" w:hAnsi="Times New Roman"/>
          <w:color w:val="000000"/>
          <w:sz w:val="22"/>
          <w:szCs w:val="24"/>
        </w:rPr>
        <w:br/>
        <w:t> </w:t>
      </w:r>
      <w:r w:rsidRPr="00271570">
        <w:rPr>
          <w:rFonts w:ascii="Times New Roman" w:hAnsi="Times New Roman"/>
          <w:color w:val="000000"/>
          <w:sz w:val="22"/>
          <w:szCs w:val="24"/>
        </w:rPr>
        <w:br/>
      </w:r>
    </w:p>
    <w:p w:rsidR="0088431F" w:rsidRPr="00271570" w:rsidRDefault="0088431F">
      <w:pPr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6B533C" w:rsidRPr="00271570" w:rsidRDefault="00A01B54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lastRenderedPageBreak/>
        <w:t>6</w:t>
      </w:r>
      <w:r w:rsidR="00F45813" w:rsidRPr="00271570">
        <w:rPr>
          <w:rFonts w:ascii="Times New Roman" w:hAnsi="Times New Roman"/>
          <w:b/>
          <w:bCs/>
          <w:color w:val="000000"/>
          <w:sz w:val="22"/>
          <w:szCs w:val="24"/>
        </w:rPr>
        <w:t xml:space="preserve"> DOCUMENTOS E INFORMAÇÕES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3296"/>
        <w:gridCol w:w="1749"/>
        <w:gridCol w:w="2224"/>
        <w:gridCol w:w="1692"/>
      </w:tblGrid>
      <w:tr w:rsidR="009044C3" w:rsidRPr="00271570" w:rsidTr="0088431F">
        <w:trPr>
          <w:trHeight w:val="360"/>
          <w:tblCellSpacing w:w="0" w:type="dxa"/>
        </w:trPr>
        <w:tc>
          <w:tcPr>
            <w:tcW w:w="1807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296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665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13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692" w:type="dxa"/>
          </w:tcPr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88431F">
        <w:trPr>
          <w:trHeight w:val="660"/>
          <w:tblCellSpacing w:w="0" w:type="dxa"/>
        </w:trPr>
        <w:tc>
          <w:tcPr>
            <w:tcW w:w="1807" w:type="dxa"/>
            <w:vMerge w:val="restart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6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.1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Gestão de documentos</w:t>
            </w: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de reuniões da Comissão de Avaliação de Documentos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91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Editais de eliminação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5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Livro de protocolo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47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Termo de eliminação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765"/>
          <w:tblCellSpacing w:w="0" w:type="dxa"/>
        </w:trPr>
        <w:tc>
          <w:tcPr>
            <w:tcW w:w="180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6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.2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Comunicação administrativa</w:t>
            </w: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Comunicações internas (circulares, memorandos, ordens de serviço)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540"/>
          <w:tblCellSpacing w:w="0" w:type="dxa"/>
        </w:trPr>
        <w:tc>
          <w:tcPr>
            <w:tcW w:w="1807" w:type="dxa"/>
            <w:vMerge w:val="restart"/>
            <w:vAlign w:val="center"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6.3 Controle de correspondências</w:t>
            </w: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Prestação de Contas da Câmara Municipal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24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54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PRESTAÇÃO DE CONTAS MUNICÍPIO e INVENTÁRIO GERAL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EDITAIS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51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DELIBERAÇÕES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ENCAMINHAMENTO ASSESSORIA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7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AVALIAÇÃO ORÇAMENTÁRIA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57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Relatórios do  SECRETÁRIO da Mesa Diretora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42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CERTIDÕES / ATESTADOS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24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ORDEM DO DIA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360"/>
          <w:tblCellSpacing w:w="0" w:type="dxa"/>
        </w:trPr>
        <w:tc>
          <w:tcPr>
            <w:tcW w:w="1807" w:type="dxa"/>
            <w:vMerge/>
            <w:vAlign w:val="center"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RELATÓRIO DO CONTROLE INTERNO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355"/>
          <w:tblCellSpacing w:w="0" w:type="dxa"/>
        </w:trPr>
        <w:tc>
          <w:tcPr>
            <w:tcW w:w="1807" w:type="dxa"/>
            <w:vMerge/>
            <w:vAlign w:val="center"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DOCUMENTOS DE RECEITA E DESPESA DA CÂMARA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224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D46172" w:rsidRPr="00271570" w:rsidTr="0088431F">
        <w:trPr>
          <w:trHeight w:val="355"/>
          <w:tblCellSpacing w:w="0" w:type="dxa"/>
        </w:trPr>
        <w:tc>
          <w:tcPr>
            <w:tcW w:w="1807" w:type="dxa"/>
            <w:vMerge/>
            <w:vAlign w:val="center"/>
          </w:tcPr>
          <w:p w:rsidR="00D46172" w:rsidRPr="00271570" w:rsidRDefault="00D46172" w:rsidP="00D4617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DECLARAÇÕES DE BENS, TERMO DE POSSE E DIPLOMA DOS AGENTES POLÍTICOS</w:t>
            </w:r>
          </w:p>
        </w:tc>
        <w:tc>
          <w:tcPr>
            <w:tcW w:w="1749" w:type="dxa"/>
            <w:vAlign w:val="center"/>
          </w:tcPr>
          <w:p w:rsidR="00D46172" w:rsidRPr="0007144C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46172" w:rsidRPr="00271570" w:rsidRDefault="00D46172" w:rsidP="00D4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D46172" w:rsidRDefault="006B533C" w:rsidP="00D46172">
      <w:pPr>
        <w:jc w:val="center"/>
        <w:rPr>
          <w:b/>
          <w:sz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 </w:t>
      </w:r>
      <w:r w:rsidR="00D46172">
        <w:rPr>
          <w:b/>
          <w:sz w:val="24"/>
        </w:rPr>
        <w:t>(</w:t>
      </w:r>
      <w:r w:rsidR="00D46172">
        <w:rPr>
          <w:b/>
          <w:sz w:val="24"/>
        </w:rPr>
        <w:t>Item 6.3 alterado pela Resolução nº 82/2024</w:t>
      </w:r>
      <w:r w:rsidR="00D46172">
        <w:rPr>
          <w:b/>
          <w:sz w:val="24"/>
        </w:rPr>
        <w:t>)</w:t>
      </w:r>
    </w:p>
    <w:p w:rsidR="00D46172" w:rsidRDefault="00D46172" w:rsidP="0009082A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  <w:hyperlink r:id="rId8" w:history="1">
        <w:r w:rsidRPr="0089190D">
          <w:rPr>
            <w:rStyle w:val="Hyperlink"/>
            <w:b/>
            <w:sz w:val="24"/>
          </w:rPr>
          <w:t>https://www.camaradeareado.mg.gov.br/servicos/resolucoes/resolucao_2024_1729104580.docx</w:t>
        </w:r>
      </w:hyperlink>
      <w:r>
        <w:rPr>
          <w:b/>
          <w:sz w:val="24"/>
        </w:rPr>
        <w:t xml:space="preserve"> </w:t>
      </w:r>
      <w:bookmarkStart w:id="0" w:name="_GoBack"/>
      <w:bookmarkEnd w:id="0"/>
      <w:r w:rsidR="006B533C" w:rsidRPr="00271570">
        <w:rPr>
          <w:rFonts w:ascii="Times New Roman" w:hAnsi="Times New Roman"/>
          <w:color w:val="000000"/>
          <w:sz w:val="22"/>
          <w:szCs w:val="24"/>
        </w:rPr>
        <w:br/>
        <w:t> </w:t>
      </w:r>
      <w:r w:rsidR="0009082A" w:rsidRPr="00271570">
        <w:rPr>
          <w:rFonts w:ascii="Times New Roman" w:hAnsi="Times New Roman"/>
          <w:color w:val="000000"/>
          <w:sz w:val="22"/>
          <w:szCs w:val="24"/>
        </w:rPr>
        <w:br/>
      </w:r>
    </w:p>
    <w:p w:rsidR="00D46172" w:rsidRDefault="00D46172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  <w:r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09082A" w:rsidRPr="00271570" w:rsidRDefault="0009082A" w:rsidP="0009082A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lastRenderedPageBreak/>
        <w:t>7. DOCUMENTOS DE VALOR HISTÓRICO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374"/>
      </w:tblGrid>
      <w:tr w:rsidR="009044C3" w:rsidRPr="00271570" w:rsidTr="0088431F">
        <w:trPr>
          <w:trHeight w:val="360"/>
          <w:tblCellSpacing w:w="0" w:type="dxa"/>
        </w:trPr>
        <w:tc>
          <w:tcPr>
            <w:tcW w:w="1394" w:type="dxa"/>
            <w:vAlign w:val="center"/>
            <w:hideMark/>
          </w:tcPr>
          <w:p w:rsidR="0088431F" w:rsidRPr="00271570" w:rsidRDefault="0088431F" w:rsidP="007043A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ATIVIDADE</w:t>
            </w:r>
          </w:p>
        </w:tc>
        <w:tc>
          <w:tcPr>
            <w:tcW w:w="9374" w:type="dxa"/>
            <w:vAlign w:val="center"/>
            <w:hideMark/>
          </w:tcPr>
          <w:p w:rsidR="0088431F" w:rsidRPr="00271570" w:rsidRDefault="0088431F" w:rsidP="00501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660"/>
          <w:tblCellSpacing w:w="0" w:type="dxa"/>
        </w:trPr>
        <w:tc>
          <w:tcPr>
            <w:tcW w:w="1394" w:type="dxa"/>
            <w:vAlign w:val="center"/>
          </w:tcPr>
          <w:p w:rsidR="0088431F" w:rsidRPr="00271570" w:rsidRDefault="0088431F" w:rsidP="007043A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7.1 Acervo histórico</w:t>
            </w:r>
          </w:p>
        </w:tc>
        <w:tc>
          <w:tcPr>
            <w:tcW w:w="9374" w:type="dxa"/>
            <w:vAlign w:val="center"/>
          </w:tcPr>
          <w:p w:rsidR="0088431F" w:rsidRPr="00271570" w:rsidRDefault="0088431F" w:rsidP="0050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Os documentos de valor histórico serão digitalizados ou microfilmados E também mantidos no arquivo físico</w:t>
            </w:r>
          </w:p>
        </w:tc>
      </w:tr>
    </w:tbl>
    <w:p w:rsidR="00A01B54" w:rsidRPr="00271570" w:rsidRDefault="00A01B54" w:rsidP="00A01B54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</w:p>
    <w:p w:rsidR="00695964" w:rsidRPr="00271570" w:rsidRDefault="00695964">
      <w:pPr>
        <w:spacing w:after="487"/>
        <w:rPr>
          <w:rFonts w:ascii="Times New Roman" w:hAnsi="Times New Roman"/>
          <w:color w:val="000000"/>
          <w:sz w:val="24"/>
          <w:szCs w:val="26"/>
        </w:rPr>
      </w:pPr>
    </w:p>
    <w:p w:rsidR="0009082A" w:rsidRPr="00271570" w:rsidRDefault="0009082A">
      <w:pPr>
        <w:spacing w:after="487"/>
        <w:rPr>
          <w:rFonts w:ascii="Times New Roman" w:hAnsi="Times New Roman"/>
          <w:color w:val="000000"/>
          <w:sz w:val="24"/>
          <w:szCs w:val="26"/>
        </w:rPr>
      </w:pPr>
    </w:p>
    <w:p w:rsidR="00D46172" w:rsidRDefault="00D461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>
        <w:rPr>
          <w:rFonts w:ascii="Times New Roman" w:hAnsi="Times New Roman"/>
          <w:b/>
          <w:color w:val="000000"/>
          <w:sz w:val="24"/>
          <w:szCs w:val="26"/>
        </w:rPr>
        <w:br w:type="page"/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lastRenderedPageBreak/>
        <w:t xml:space="preserve">EDITAL DE CIÊNCIA DE ELIMINAÇÃO DE DOCUMENTOS 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ANEXO II – 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RESOLUÇÃO Nº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81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02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 xml:space="preserve">SETEMBRO 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>DE 2024</w:t>
      </w:r>
      <w:r w:rsidRPr="00271570">
        <w:rPr>
          <w:rFonts w:ascii="Times New Roman" w:hAnsi="Times New Roman"/>
          <w:b/>
          <w:color w:val="000000"/>
          <w:sz w:val="24"/>
          <w:szCs w:val="26"/>
        </w:rPr>
        <w:t>.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8843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A Comissão </w:t>
      </w:r>
      <w:r w:rsidR="00B23667" w:rsidRPr="00271570">
        <w:rPr>
          <w:rFonts w:ascii="Times New Roman" w:hAnsi="Times New Roman"/>
          <w:color w:val="000000"/>
          <w:sz w:val="24"/>
          <w:szCs w:val="26"/>
        </w:rPr>
        <w:t xml:space="preserve">Permanente </w:t>
      </w:r>
      <w:r w:rsidRPr="00271570">
        <w:rPr>
          <w:rFonts w:ascii="Times New Roman" w:hAnsi="Times New Roman"/>
          <w:color w:val="000000"/>
          <w:sz w:val="24"/>
          <w:szCs w:val="26"/>
        </w:rPr>
        <w:t xml:space="preserve">de </w:t>
      </w:r>
      <w:r w:rsidR="00B23667" w:rsidRPr="00271570">
        <w:rPr>
          <w:rFonts w:ascii="Times New Roman" w:hAnsi="Times New Roman"/>
          <w:color w:val="000000"/>
          <w:sz w:val="24"/>
          <w:szCs w:val="26"/>
        </w:rPr>
        <w:t>Avaliação de Documentos</w:t>
      </w:r>
      <w:r w:rsidRPr="00271570">
        <w:rPr>
          <w:rFonts w:ascii="Times New Roman" w:hAnsi="Times New Roman"/>
          <w:color w:val="000000"/>
          <w:sz w:val="24"/>
          <w:szCs w:val="26"/>
        </w:rPr>
        <w:t>, instituída por ato da Mesa Diretora, publicado no sítio eletrônico da Câmara Municipal de Areado, em conformidade com os prazos definidos na Tabela de Temporalidade de Documentos, faz saber a quem possa interessar que, a partir do 30º dia subsequente à data de publicação deste Edital, a Câmara Municipal de Areado eliminará os documentos abaixo relacionados.</w:t>
      </w:r>
    </w:p>
    <w:p w:rsidR="007A448C" w:rsidRPr="00271570" w:rsidRDefault="007A448C" w:rsidP="008843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8843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Os interessados poderão requerer às suas expensas, no prazo citado, o desentranhamento de documentos ou cópias de peças do processo, mediante petição, desde que tenha respectiva qualificação e demonstração de legitimidade do pedido, dirigida à Comissão de Avaliação de Documentos e Arquivo.</w:t>
      </w: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Categoria do documento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 xml:space="preserve">Subcategoria 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descrição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Número de caixas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7A448C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Procedimento de descarte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Areado, em_____ de _______________ </w:t>
      </w:r>
      <w:proofErr w:type="spellStart"/>
      <w:r w:rsidRPr="00271570">
        <w:rPr>
          <w:rFonts w:ascii="Times New Roman" w:hAnsi="Times New Roman"/>
          <w:color w:val="000000"/>
          <w:sz w:val="24"/>
          <w:szCs w:val="26"/>
        </w:rPr>
        <w:t>de</w:t>
      </w:r>
      <w:proofErr w:type="spellEnd"/>
      <w:r w:rsidRPr="00271570">
        <w:rPr>
          <w:rFonts w:ascii="Times New Roman" w:hAnsi="Times New Roman"/>
          <w:color w:val="000000"/>
          <w:sz w:val="24"/>
          <w:szCs w:val="26"/>
        </w:rPr>
        <w:t xml:space="preserve"> ________.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____________________________________________________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Comissão Permanente de Avaliação de Documentos 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37AE1" w:rsidRPr="00271570" w:rsidRDefault="00737AE1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</w:p>
    <w:p w:rsidR="00737AE1" w:rsidRPr="00271570" w:rsidRDefault="00737AE1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</w:p>
    <w:p w:rsidR="00737AE1" w:rsidRPr="00271570" w:rsidRDefault="00737AE1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</w:p>
    <w:p w:rsidR="0088431F" w:rsidRPr="00271570" w:rsidRDefault="0088431F">
      <w:pPr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br w:type="page"/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lastRenderedPageBreak/>
        <w:t xml:space="preserve">TERMO DE ELIMINAÇÃO DE DOCUMENTOS 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ANEXO III – 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RESOLUÇÃO Nº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81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02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 xml:space="preserve">SETEMBRO 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>DE 2024</w:t>
      </w:r>
      <w:r w:rsidRPr="00271570">
        <w:rPr>
          <w:rFonts w:ascii="Times New Roman" w:hAnsi="Times New Roman"/>
          <w:b/>
          <w:color w:val="000000"/>
          <w:sz w:val="24"/>
          <w:szCs w:val="26"/>
        </w:rPr>
        <w:t>.</w:t>
      </w: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Aos ______ dias do mês de ______________ do ano de ______, a Câmara Municipal de Areado, em conformidade com os prazos definidos na Tabela de Temporalidade de Documentos, procedeu o encaminhamento para a eliminação dos documentos abaixo relacionados:</w:t>
      </w:r>
    </w:p>
    <w:p w:rsidR="007A448C" w:rsidRPr="00271570" w:rsidRDefault="007A448C" w:rsidP="007A448C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Categoria do documento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 xml:space="preserve">Subcategoria 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descrição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Número de caixas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7A448C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Procedimento de descarte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Areado, em_____ de _______________ </w:t>
      </w:r>
      <w:proofErr w:type="spellStart"/>
      <w:r w:rsidRPr="00271570">
        <w:rPr>
          <w:rFonts w:ascii="Times New Roman" w:hAnsi="Times New Roman"/>
          <w:color w:val="000000"/>
          <w:sz w:val="24"/>
          <w:szCs w:val="26"/>
        </w:rPr>
        <w:t>de</w:t>
      </w:r>
      <w:proofErr w:type="spellEnd"/>
      <w:r w:rsidRPr="00271570">
        <w:rPr>
          <w:rFonts w:ascii="Times New Roman" w:hAnsi="Times New Roman"/>
          <w:color w:val="000000"/>
          <w:sz w:val="24"/>
          <w:szCs w:val="26"/>
        </w:rPr>
        <w:t xml:space="preserve"> ________.</w:t>
      </w:r>
    </w:p>
    <w:p w:rsidR="007A448C" w:rsidRPr="00271570" w:rsidRDefault="007A448C" w:rsidP="007A448C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____________________________________________________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D95E0F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Comissão Permanente de Avaliação de Documentos </w:t>
      </w:r>
    </w:p>
    <w:p w:rsidR="00D95E0F" w:rsidRPr="00271570" w:rsidRDefault="00D95E0F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D95E0F" w:rsidRPr="00271570" w:rsidRDefault="00D95E0F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D95E0F" w:rsidRPr="00271570" w:rsidRDefault="00D95E0F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 w:rsidP="00B23667">
      <w:pPr>
        <w:ind w:firstLine="1134"/>
        <w:jc w:val="both"/>
        <w:rPr>
          <w:color w:val="000000"/>
          <w:sz w:val="18"/>
        </w:rPr>
      </w:pPr>
    </w:p>
    <w:p w:rsidR="00B23667" w:rsidRPr="00271570" w:rsidRDefault="00B23667" w:rsidP="00B23667">
      <w:pPr>
        <w:ind w:firstLine="1134"/>
        <w:jc w:val="both"/>
        <w:rPr>
          <w:color w:val="000000"/>
          <w:sz w:val="18"/>
        </w:rPr>
      </w:pPr>
    </w:p>
    <w:p w:rsidR="0088431F" w:rsidRPr="00271570" w:rsidRDefault="0088431F">
      <w:pPr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</w:rPr>
        <w:br w:type="page"/>
      </w:r>
    </w:p>
    <w:p w:rsidR="00B23667" w:rsidRPr="00271570" w:rsidRDefault="00B23667" w:rsidP="00B23667">
      <w:pPr>
        <w:spacing w:after="0"/>
        <w:jc w:val="center"/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</w:rPr>
        <w:lastRenderedPageBreak/>
        <w:t>FLUXOGRAMA</w:t>
      </w:r>
    </w:p>
    <w:p w:rsidR="00B23667" w:rsidRPr="00271570" w:rsidRDefault="00B23667" w:rsidP="00B23667">
      <w:pPr>
        <w:spacing w:after="0"/>
        <w:jc w:val="center"/>
        <w:rPr>
          <w:rFonts w:ascii="Times New Roman" w:hAnsi="Times New Roman"/>
          <w:color w:val="000000"/>
          <w:sz w:val="22"/>
          <w:szCs w:val="24"/>
        </w:rPr>
      </w:pPr>
    </w:p>
    <w:p w:rsidR="00B23667" w:rsidRPr="00271570" w:rsidRDefault="00B23667" w:rsidP="00B23667">
      <w:pPr>
        <w:spacing w:after="0"/>
        <w:jc w:val="center"/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</w:rPr>
        <w:t xml:space="preserve">ANEXO IV – 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RESOLUÇÃO Nº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81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>02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 xml:space="preserve"> DE </w:t>
      </w:r>
      <w:r w:rsidR="00D46172">
        <w:rPr>
          <w:rFonts w:ascii="Times New Roman" w:hAnsi="Times New Roman"/>
          <w:b/>
          <w:color w:val="000000"/>
          <w:sz w:val="24"/>
          <w:szCs w:val="26"/>
        </w:rPr>
        <w:t xml:space="preserve">SETEMBRO </w:t>
      </w:r>
      <w:r w:rsidR="00D46172" w:rsidRPr="00271570">
        <w:rPr>
          <w:rFonts w:ascii="Times New Roman" w:hAnsi="Times New Roman"/>
          <w:b/>
          <w:color w:val="000000"/>
          <w:sz w:val="24"/>
          <w:szCs w:val="26"/>
        </w:rPr>
        <w:t>DE 2024</w:t>
      </w:r>
      <w:r w:rsidRPr="00271570">
        <w:rPr>
          <w:rFonts w:ascii="Times New Roman" w:hAnsi="Times New Roman"/>
          <w:b/>
          <w:color w:val="000000"/>
          <w:sz w:val="22"/>
          <w:szCs w:val="24"/>
        </w:rPr>
        <w:t>.</w:t>
      </w:r>
    </w:p>
    <w:p w:rsidR="00B23667" w:rsidRPr="00271570" w:rsidRDefault="00B23667" w:rsidP="00B23667">
      <w:pPr>
        <w:spacing w:after="0"/>
        <w:ind w:firstLine="1134"/>
        <w:jc w:val="both"/>
        <w:rPr>
          <w:color w:val="000000"/>
          <w:sz w:val="18"/>
        </w:rPr>
      </w:pPr>
    </w:p>
    <w:p w:rsidR="0011784C" w:rsidRPr="00271570" w:rsidRDefault="00EF2D4F" w:rsidP="007F12EA">
      <w:pPr>
        <w:spacing w:after="0"/>
        <w:ind w:firstLine="1134"/>
        <w:jc w:val="both"/>
        <w:rPr>
          <w:rFonts w:ascii="Times New Roman" w:hAnsi="Times New Roman"/>
          <w:b/>
          <w:color w:val="000000"/>
          <w:sz w:val="18"/>
        </w:rPr>
      </w:pPr>
      <w:r w:rsidRPr="00271570">
        <w:rPr>
          <w:noProof/>
          <w:color w:val="000000"/>
          <w:sz w:val="18"/>
        </w:rPr>
        <w:drawing>
          <wp:inline distT="0" distB="0" distL="0" distR="0">
            <wp:extent cx="5729605" cy="364553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9" t="23409" r="31059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67" w:rsidRPr="00271570">
        <w:rPr>
          <w:color w:val="000000"/>
          <w:sz w:val="18"/>
        </w:rPr>
        <w:t xml:space="preserve">                                               </w:t>
      </w:r>
      <w:r w:rsidR="00B23667" w:rsidRPr="00271570">
        <w:rPr>
          <w:b/>
          <w:color w:val="000000"/>
          <w:sz w:val="18"/>
        </w:rPr>
        <w:t xml:space="preserve">                             </w:t>
      </w: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sectPr w:rsidR="00B23667" w:rsidRPr="00271570" w:rsidSect="00DA042F">
      <w:headerReference w:type="default" r:id="rId10"/>
      <w:pgSz w:w="11906" w:h="16838"/>
      <w:pgMar w:top="1843" w:right="424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80" w:rsidRDefault="00E03780" w:rsidP="0045220C">
      <w:pPr>
        <w:spacing w:after="0" w:line="240" w:lineRule="auto"/>
      </w:pPr>
      <w:r>
        <w:separator/>
      </w:r>
    </w:p>
  </w:endnote>
  <w:endnote w:type="continuationSeparator" w:id="0">
    <w:p w:rsidR="00E03780" w:rsidRDefault="00E03780" w:rsidP="004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80" w:rsidRDefault="00E03780" w:rsidP="0045220C">
      <w:pPr>
        <w:spacing w:after="0" w:line="240" w:lineRule="auto"/>
      </w:pPr>
      <w:r>
        <w:separator/>
      </w:r>
    </w:p>
  </w:footnote>
  <w:footnote w:type="continuationSeparator" w:id="0">
    <w:p w:rsidR="00E03780" w:rsidRDefault="00E03780" w:rsidP="0045220C">
      <w:pPr>
        <w:spacing w:after="0" w:line="240" w:lineRule="auto"/>
      </w:pPr>
      <w:r>
        <w:continuationSeparator/>
      </w:r>
    </w:p>
  </w:footnote>
  <w:footnote w:id="1">
    <w:p w:rsidR="007E69B8" w:rsidRDefault="007E69B8">
      <w:pPr>
        <w:pStyle w:val="Textodenotaderodap"/>
      </w:pPr>
      <w:r>
        <w:rPr>
          <w:rStyle w:val="Refdenotaderodap"/>
        </w:rPr>
        <w:footnoteRef/>
      </w:r>
      <w:r>
        <w:t xml:space="preserve"> A guarda temporária, computada em anos, precede a eliminação dos documentos.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B8" w:rsidRPr="007E5200" w:rsidRDefault="007E69B8" w:rsidP="00DA042F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7E69B8" w:rsidRPr="007E5200" w:rsidRDefault="007E69B8" w:rsidP="00DA042F">
    <w:pPr>
      <w:pStyle w:val="Legenda"/>
      <w:framePr w:wrap="auto" w:vAnchor="page" w:hAnchor="page" w:x="5446" w:y="1201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7E69B8" w:rsidRDefault="00EF2D4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1143000" cy="1005205"/>
          <wp:effectExtent l="0" t="0" r="0" b="0"/>
          <wp:wrapNone/>
          <wp:docPr id="1" name="Imagem 15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E32"/>
    <w:multiLevelType w:val="hybridMultilevel"/>
    <w:tmpl w:val="39E8E546"/>
    <w:lvl w:ilvl="0" w:tplc="4FCA743E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63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C95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C25C5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909D5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4EA58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607E8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A8AD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B4F4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E6B4E"/>
    <w:multiLevelType w:val="hybridMultilevel"/>
    <w:tmpl w:val="A694FC88"/>
    <w:lvl w:ilvl="0" w:tplc="B6206AB4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AE279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0975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DE486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E8676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06D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212B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AD078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0A0CE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4"/>
    <w:rsid w:val="0009082A"/>
    <w:rsid w:val="00092FF3"/>
    <w:rsid w:val="000A7F2B"/>
    <w:rsid w:val="00105E42"/>
    <w:rsid w:val="0011784C"/>
    <w:rsid w:val="00166CBD"/>
    <w:rsid w:val="001B2F04"/>
    <w:rsid w:val="001E7290"/>
    <w:rsid w:val="00205DEB"/>
    <w:rsid w:val="002429BB"/>
    <w:rsid w:val="00271570"/>
    <w:rsid w:val="002D686A"/>
    <w:rsid w:val="002E2C0B"/>
    <w:rsid w:val="002E4E12"/>
    <w:rsid w:val="00332E79"/>
    <w:rsid w:val="003429A3"/>
    <w:rsid w:val="00375C16"/>
    <w:rsid w:val="00416339"/>
    <w:rsid w:val="0045220C"/>
    <w:rsid w:val="00487DD5"/>
    <w:rsid w:val="004E6006"/>
    <w:rsid w:val="00501414"/>
    <w:rsid w:val="00525E52"/>
    <w:rsid w:val="005377F9"/>
    <w:rsid w:val="00571B1C"/>
    <w:rsid w:val="00572CF2"/>
    <w:rsid w:val="00582F2C"/>
    <w:rsid w:val="005A44CC"/>
    <w:rsid w:val="005A5693"/>
    <w:rsid w:val="005B2639"/>
    <w:rsid w:val="0063420A"/>
    <w:rsid w:val="00672F46"/>
    <w:rsid w:val="00695964"/>
    <w:rsid w:val="006B533C"/>
    <w:rsid w:val="006F4792"/>
    <w:rsid w:val="007043AD"/>
    <w:rsid w:val="0070744E"/>
    <w:rsid w:val="00714E60"/>
    <w:rsid w:val="00736512"/>
    <w:rsid w:val="00737AE1"/>
    <w:rsid w:val="0078662E"/>
    <w:rsid w:val="007A448C"/>
    <w:rsid w:val="007C7D4B"/>
    <w:rsid w:val="007E69B8"/>
    <w:rsid w:val="007F12EA"/>
    <w:rsid w:val="00812ACE"/>
    <w:rsid w:val="00812F19"/>
    <w:rsid w:val="00836460"/>
    <w:rsid w:val="008513B1"/>
    <w:rsid w:val="00864C33"/>
    <w:rsid w:val="0088431F"/>
    <w:rsid w:val="00884ECF"/>
    <w:rsid w:val="008855F3"/>
    <w:rsid w:val="00886061"/>
    <w:rsid w:val="00892989"/>
    <w:rsid w:val="008C6B20"/>
    <w:rsid w:val="008F53DD"/>
    <w:rsid w:val="008F668F"/>
    <w:rsid w:val="009044C3"/>
    <w:rsid w:val="00961F06"/>
    <w:rsid w:val="00966776"/>
    <w:rsid w:val="009D62AD"/>
    <w:rsid w:val="009F516D"/>
    <w:rsid w:val="00A01B54"/>
    <w:rsid w:val="00A64D5F"/>
    <w:rsid w:val="00A67AB7"/>
    <w:rsid w:val="00AA5AA9"/>
    <w:rsid w:val="00AC7E4B"/>
    <w:rsid w:val="00AD6F6C"/>
    <w:rsid w:val="00AE47CC"/>
    <w:rsid w:val="00B23667"/>
    <w:rsid w:val="00B876CF"/>
    <w:rsid w:val="00B97892"/>
    <w:rsid w:val="00BA219C"/>
    <w:rsid w:val="00BB2B84"/>
    <w:rsid w:val="00BE5EE3"/>
    <w:rsid w:val="00C45B40"/>
    <w:rsid w:val="00C508E4"/>
    <w:rsid w:val="00C8159A"/>
    <w:rsid w:val="00CA2D31"/>
    <w:rsid w:val="00CB659C"/>
    <w:rsid w:val="00CD147A"/>
    <w:rsid w:val="00CF332C"/>
    <w:rsid w:val="00CF7DF0"/>
    <w:rsid w:val="00D22087"/>
    <w:rsid w:val="00D30D25"/>
    <w:rsid w:val="00D322CD"/>
    <w:rsid w:val="00D46172"/>
    <w:rsid w:val="00D7249D"/>
    <w:rsid w:val="00D8178B"/>
    <w:rsid w:val="00D95E0F"/>
    <w:rsid w:val="00DA042F"/>
    <w:rsid w:val="00DB42E8"/>
    <w:rsid w:val="00DD0DA4"/>
    <w:rsid w:val="00DE2E3C"/>
    <w:rsid w:val="00DF1AAD"/>
    <w:rsid w:val="00E03780"/>
    <w:rsid w:val="00E16427"/>
    <w:rsid w:val="00E55C49"/>
    <w:rsid w:val="00ED266D"/>
    <w:rsid w:val="00EF2D4F"/>
    <w:rsid w:val="00F34E92"/>
    <w:rsid w:val="00F45813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38F6E"/>
  <w15:docId w15:val="{AECC4C6C-7E44-435C-8B1B-BDE90B5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4C"/>
    <w:pPr>
      <w:spacing w:after="120" w:line="26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30D25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25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25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25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25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25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0D25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0D25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0D25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D30D25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elacomgrade">
    <w:name w:val="Table Grid"/>
    <w:basedOn w:val="Tabelanormal"/>
    <w:uiPriority w:val="39"/>
    <w:rsid w:val="007A448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D30D25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D30D25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D30D25"/>
    <w:rPr>
      <w:rFonts w:ascii="Calibri Light" w:eastAsia="Times New Roman" w:hAnsi="Calibri Light" w:cs="Times New Roman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D30D25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30D25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Ttulo7Char">
    <w:name w:val="Título 7 Char"/>
    <w:link w:val="Ttulo7"/>
    <w:uiPriority w:val="9"/>
    <w:semiHidden/>
    <w:rsid w:val="00D30D25"/>
    <w:rPr>
      <w:rFonts w:ascii="Calibri Light" w:eastAsia="Times New Roman" w:hAnsi="Calibri Light" w:cs="Times New Roman"/>
      <w:i/>
      <w:iCs/>
      <w:color w:val="1F4E79"/>
      <w:sz w:val="21"/>
      <w:szCs w:val="21"/>
    </w:rPr>
  </w:style>
  <w:style w:type="character" w:customStyle="1" w:styleId="Ttulo8Char">
    <w:name w:val="Título 8 Char"/>
    <w:link w:val="Ttulo8"/>
    <w:uiPriority w:val="9"/>
    <w:semiHidden/>
    <w:rsid w:val="00D30D25"/>
    <w:rPr>
      <w:rFonts w:ascii="Calibri Light" w:eastAsia="Times New Roman" w:hAnsi="Calibri Light" w:cs="Times New Roman"/>
      <w:b/>
      <w:bCs/>
      <w:color w:val="44546A"/>
    </w:rPr>
  </w:style>
  <w:style w:type="character" w:customStyle="1" w:styleId="Ttulo9Char">
    <w:name w:val="Título 9 Char"/>
    <w:link w:val="Ttulo9"/>
    <w:uiPriority w:val="9"/>
    <w:semiHidden/>
    <w:rsid w:val="00D30D25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Legenda">
    <w:name w:val="caption"/>
    <w:basedOn w:val="Normal"/>
    <w:next w:val="Normal"/>
    <w:unhideWhenUsed/>
    <w:qFormat/>
    <w:rsid w:val="00D30D25"/>
    <w:pPr>
      <w:spacing w:line="240" w:lineRule="auto"/>
    </w:pPr>
    <w:rPr>
      <w:b/>
      <w:bCs/>
      <w:smallCaps/>
      <w:color w:val="595959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30D25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TtuloChar">
    <w:name w:val="Título Char"/>
    <w:link w:val="Ttulo"/>
    <w:uiPriority w:val="10"/>
    <w:rsid w:val="00D30D25"/>
    <w:rPr>
      <w:rFonts w:ascii="Calibri Light" w:eastAsia="Times New Roma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25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uiPriority w:val="11"/>
    <w:rsid w:val="00D30D25"/>
    <w:rPr>
      <w:rFonts w:ascii="Calibri Light" w:eastAsia="Times New Roman" w:hAnsi="Calibri Light" w:cs="Times New Roman"/>
      <w:sz w:val="24"/>
      <w:szCs w:val="24"/>
    </w:rPr>
  </w:style>
  <w:style w:type="character" w:styleId="Forte">
    <w:name w:val="Strong"/>
    <w:uiPriority w:val="22"/>
    <w:qFormat/>
    <w:rsid w:val="00D30D25"/>
    <w:rPr>
      <w:b/>
      <w:bCs/>
    </w:rPr>
  </w:style>
  <w:style w:type="character" w:styleId="nfase">
    <w:name w:val="Emphasis"/>
    <w:uiPriority w:val="20"/>
    <w:qFormat/>
    <w:rsid w:val="00D30D25"/>
    <w:rPr>
      <w:i/>
      <w:iCs/>
    </w:rPr>
  </w:style>
  <w:style w:type="paragraph" w:styleId="SemEspaamento">
    <w:name w:val="No Spacing"/>
    <w:uiPriority w:val="1"/>
    <w:qFormat/>
    <w:rsid w:val="00D30D25"/>
  </w:style>
  <w:style w:type="paragraph" w:styleId="Citao">
    <w:name w:val="Quote"/>
    <w:basedOn w:val="Normal"/>
    <w:next w:val="Normal"/>
    <w:link w:val="CitaoChar"/>
    <w:uiPriority w:val="29"/>
    <w:qFormat/>
    <w:rsid w:val="00D30D25"/>
    <w:pPr>
      <w:spacing w:before="160"/>
      <w:ind w:left="720" w:right="720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D30D25"/>
    <w:rPr>
      <w:i/>
      <w:iCs/>
      <w:color w:val="40404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D2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D30D25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D30D25"/>
    <w:rPr>
      <w:i/>
      <w:iCs/>
      <w:color w:val="404040"/>
    </w:rPr>
  </w:style>
  <w:style w:type="character" w:styleId="nfaseIntensa">
    <w:name w:val="Intense Emphasis"/>
    <w:uiPriority w:val="21"/>
    <w:qFormat/>
    <w:rsid w:val="00D30D25"/>
    <w:rPr>
      <w:b/>
      <w:bCs/>
      <w:i/>
      <w:iCs/>
    </w:rPr>
  </w:style>
  <w:style w:type="character" w:styleId="RefernciaSutil">
    <w:name w:val="Subtle Reference"/>
    <w:uiPriority w:val="31"/>
    <w:qFormat/>
    <w:rsid w:val="00D30D25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D30D25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D30D2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0D25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220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220C"/>
  </w:style>
  <w:style w:type="character" w:styleId="Refdenotaderodap">
    <w:name w:val="footnote reference"/>
    <w:uiPriority w:val="99"/>
    <w:semiHidden/>
    <w:unhideWhenUsed/>
    <w:rsid w:val="0045220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13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042F"/>
  </w:style>
  <w:style w:type="paragraph" w:styleId="Rodap">
    <w:name w:val="footer"/>
    <w:basedOn w:val="Normal"/>
    <w:link w:val="RodapChar"/>
    <w:uiPriority w:val="99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42F"/>
  </w:style>
  <w:style w:type="paragraph" w:customStyle="1" w:styleId="card-text">
    <w:name w:val="card-text"/>
    <w:basedOn w:val="Normal"/>
    <w:rsid w:val="00904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044C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hAnsi="Times New Roman"/>
      <w:sz w:val="24"/>
      <w:szCs w:val="24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9044C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904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6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deareado.mg.gov.br/servicos/resolucoes/resolucao_2024_172910458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A24B-13ED-47CF-9C74-760B9C03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2105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Câmara</dc:creator>
  <cp:keywords/>
  <dc:description/>
  <cp:lastModifiedBy>danilofugi</cp:lastModifiedBy>
  <cp:revision>3</cp:revision>
  <cp:lastPrinted>2024-09-02T19:05:00Z</cp:lastPrinted>
  <dcterms:created xsi:type="dcterms:W3CDTF">2024-09-02T19:06:00Z</dcterms:created>
  <dcterms:modified xsi:type="dcterms:W3CDTF">2025-03-18T17:22:00Z</dcterms:modified>
</cp:coreProperties>
</file>